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933" w:rsidRDefault="00351933" w:rsidP="00351933">
      <w:pPr>
        <w:spacing w:after="0"/>
        <w:rPr>
          <w:b/>
          <w:sz w:val="36"/>
        </w:rPr>
      </w:pPr>
      <w:r w:rsidRPr="002013FD">
        <w:rPr>
          <w:b/>
          <w:sz w:val="36"/>
        </w:rPr>
        <w:t xml:space="preserve">BIJLAGE </w:t>
      </w:r>
      <w:r>
        <w:rPr>
          <w:b/>
          <w:sz w:val="36"/>
        </w:rPr>
        <w:t>3</w:t>
      </w:r>
    </w:p>
    <w:p w:rsidR="00351933" w:rsidRDefault="00351933" w:rsidP="00351933">
      <w:pPr>
        <w:spacing w:after="0"/>
        <w:rPr>
          <w:b/>
          <w:sz w:val="28"/>
        </w:rPr>
      </w:pPr>
    </w:p>
    <w:p w:rsidR="00351933" w:rsidRDefault="00351933" w:rsidP="00351933">
      <w:pPr>
        <w:spacing w:after="0"/>
        <w:rPr>
          <w:b/>
          <w:sz w:val="28"/>
        </w:rPr>
      </w:pPr>
      <w:r>
        <w:rPr>
          <w:b/>
          <w:sz w:val="28"/>
        </w:rPr>
        <w:t>Specificatie kosten</w:t>
      </w:r>
    </w:p>
    <w:p w:rsidR="00351933" w:rsidRDefault="00351933" w:rsidP="00351933">
      <w:pPr>
        <w:spacing w:after="0"/>
        <w:rPr>
          <w:b/>
          <w:sz w:val="28"/>
        </w:rPr>
      </w:pPr>
    </w:p>
    <w:p w:rsidR="00351933" w:rsidRPr="00DA1DBD" w:rsidRDefault="00351933" w:rsidP="00351933">
      <w:pPr>
        <w:spacing w:after="0"/>
      </w:pPr>
      <w:r>
        <w:t xml:space="preserve">De kosten die in rekening worden gebracht staan in tabel 1. Voorafgaand aan ieder paleisexperiment zal een gebruiksovereenkomst worden opgesteld inclusief offerte voor deze kosten. De kerngroep kan </w:t>
      </w:r>
      <w:r w:rsidRPr="00DA1DBD">
        <w:t>besluiten om voor non-profitorganisaties af te zien van facturering.</w:t>
      </w:r>
    </w:p>
    <w:p w:rsidR="00351933" w:rsidRPr="00DA1DBD" w:rsidRDefault="00351933" w:rsidP="00351933">
      <w:pPr>
        <w:spacing w:after="0"/>
      </w:pPr>
    </w:p>
    <w:p w:rsidR="00351933" w:rsidRPr="00DA1DBD" w:rsidRDefault="00351933" w:rsidP="00351933">
      <w:pPr>
        <w:spacing w:after="0"/>
      </w:pPr>
      <w:r w:rsidRPr="00DA1DBD">
        <w:t xml:space="preserve">Richtlijn beveiliging/BHV (buiten kantooruren) is het aantal aanwezige personen: </w:t>
      </w:r>
    </w:p>
    <w:p w:rsidR="00351933" w:rsidRPr="00DA1DBD" w:rsidRDefault="00351933" w:rsidP="00351933">
      <w:pPr>
        <w:numPr>
          <w:ilvl w:val="0"/>
          <w:numId w:val="1"/>
        </w:numPr>
        <w:spacing w:after="0"/>
      </w:pPr>
      <w:r w:rsidRPr="00DA1DBD">
        <w:t xml:space="preserve">&lt;50 en besloten: geen beveiliging, wel (minimaal één) </w:t>
      </w:r>
      <w:proofErr w:type="spellStart"/>
      <w:r w:rsidRPr="00DA1DBD">
        <w:t>BHV’er</w:t>
      </w:r>
      <w:proofErr w:type="spellEnd"/>
      <w:r w:rsidRPr="00DA1DBD">
        <w:t xml:space="preserve"> nodig</w:t>
      </w:r>
    </w:p>
    <w:p w:rsidR="00351933" w:rsidRPr="00DA1DBD" w:rsidRDefault="00351933" w:rsidP="00351933">
      <w:pPr>
        <w:numPr>
          <w:ilvl w:val="0"/>
          <w:numId w:val="1"/>
        </w:numPr>
        <w:spacing w:after="0"/>
      </w:pPr>
      <w:r w:rsidRPr="00DA1DBD">
        <w:t xml:space="preserve">&lt;50 en openbaar: beveiliging nodig; wel (minimaal één) </w:t>
      </w:r>
      <w:proofErr w:type="spellStart"/>
      <w:r w:rsidRPr="00DA1DBD">
        <w:t>BHV’er</w:t>
      </w:r>
      <w:proofErr w:type="spellEnd"/>
      <w:r w:rsidRPr="00DA1DBD">
        <w:t xml:space="preserve"> nodig</w:t>
      </w:r>
    </w:p>
    <w:p w:rsidR="00351933" w:rsidRPr="00DA1DBD" w:rsidRDefault="00351933" w:rsidP="00351933">
      <w:pPr>
        <w:numPr>
          <w:ilvl w:val="0"/>
          <w:numId w:val="1"/>
        </w:numPr>
        <w:spacing w:after="0"/>
      </w:pPr>
      <w:r w:rsidRPr="00DA1DBD">
        <w:t xml:space="preserve">&gt;50&lt;200 en besloten: geen beveiliging en één </w:t>
      </w:r>
      <w:proofErr w:type="spellStart"/>
      <w:r w:rsidRPr="00DA1DBD">
        <w:t>BHV’er</w:t>
      </w:r>
      <w:proofErr w:type="spellEnd"/>
      <w:r w:rsidRPr="00DA1DBD">
        <w:t xml:space="preserve"> per 50 personen nodig</w:t>
      </w:r>
    </w:p>
    <w:p w:rsidR="00351933" w:rsidRPr="00DA1DBD" w:rsidRDefault="00351933" w:rsidP="00351933">
      <w:pPr>
        <w:numPr>
          <w:ilvl w:val="0"/>
          <w:numId w:val="1"/>
        </w:numPr>
        <w:spacing w:after="0"/>
      </w:pPr>
      <w:r w:rsidRPr="00DA1DBD">
        <w:t xml:space="preserve"> &gt;50&lt;200 en openbaar: beveiliging en één </w:t>
      </w:r>
      <w:proofErr w:type="spellStart"/>
      <w:r w:rsidRPr="00DA1DBD">
        <w:t>BHV’er</w:t>
      </w:r>
      <w:proofErr w:type="spellEnd"/>
      <w:r w:rsidRPr="00DA1DBD">
        <w:t xml:space="preserve"> per 50 personen nodig</w:t>
      </w:r>
    </w:p>
    <w:p w:rsidR="00351933" w:rsidRPr="00DA1DBD" w:rsidRDefault="00351933" w:rsidP="00351933">
      <w:pPr>
        <w:spacing w:after="0"/>
      </w:pPr>
      <w:r w:rsidRPr="00DA1DBD">
        <w:t>Binnen kantooruren is beveiliging/BHV altijd geregeld vanuit gemeente.</w:t>
      </w:r>
    </w:p>
    <w:p w:rsidR="00351933" w:rsidRPr="00DA1DBD" w:rsidRDefault="00351933" w:rsidP="00351933">
      <w:pPr>
        <w:spacing w:after="0"/>
      </w:pPr>
      <w:r w:rsidRPr="00DA1DBD">
        <w:t xml:space="preserve"> </w:t>
      </w:r>
    </w:p>
    <w:p w:rsidR="00351933" w:rsidRPr="00DA1DBD" w:rsidRDefault="00351933" w:rsidP="00351933">
      <w:pPr>
        <w:spacing w:after="0"/>
      </w:pPr>
    </w:p>
    <w:p w:rsidR="00351933" w:rsidRPr="00DA1DBD" w:rsidRDefault="00351933" w:rsidP="00351933">
      <w:pPr>
        <w:spacing w:after="0"/>
        <w:rPr>
          <w:u w:val="single"/>
        </w:rPr>
      </w:pPr>
      <w:r w:rsidRPr="00DA1DBD">
        <w:rPr>
          <w:u w:val="single"/>
        </w:rPr>
        <w:t xml:space="preserve">Tabel 1: </w:t>
      </w:r>
      <w:r w:rsidRPr="00DA1DBD">
        <w:rPr>
          <w:u w:val="single"/>
        </w:rPr>
        <w:tab/>
        <w:t>Facilitaire kosten gebruik Paleis</w:t>
      </w:r>
    </w:p>
    <w:tbl>
      <w:tblPr>
        <w:tblStyle w:val="Lichtelijst-accent1"/>
        <w:tblW w:w="9345" w:type="dxa"/>
        <w:tblInd w:w="-152" w:type="dxa"/>
        <w:tblLook w:val="04A0" w:firstRow="1" w:lastRow="0" w:firstColumn="1" w:lastColumn="0" w:noHBand="0" w:noVBand="1"/>
      </w:tblPr>
      <w:tblGrid>
        <w:gridCol w:w="1909"/>
        <w:gridCol w:w="1928"/>
        <w:gridCol w:w="5508"/>
      </w:tblGrid>
      <w:tr w:rsidR="00351933" w:rsidRPr="00DA1DBD" w:rsidTr="003519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DA1DBD" w:rsidRDefault="00351933" w:rsidP="0089582F">
            <w:r w:rsidRPr="00DA1DBD">
              <w:t>Omschrijving</w:t>
            </w:r>
          </w:p>
        </w:tc>
        <w:tc>
          <w:tcPr>
            <w:tcW w:w="1928" w:type="dxa"/>
            <w:hideMark/>
          </w:tcPr>
          <w:p w:rsidR="00351933" w:rsidRPr="00DA1DBD" w:rsidRDefault="00351933" w:rsidP="00895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1DBD">
              <w:t>Geschatte kosten</w:t>
            </w:r>
          </w:p>
        </w:tc>
        <w:tc>
          <w:tcPr>
            <w:tcW w:w="5508" w:type="dxa"/>
            <w:hideMark/>
          </w:tcPr>
          <w:p w:rsidR="00351933" w:rsidRPr="00DA1DBD" w:rsidRDefault="00351933" w:rsidP="008958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A1DBD">
              <w:t>Opmerkingen</w:t>
            </w:r>
          </w:p>
        </w:tc>
      </w:tr>
      <w:tr w:rsidR="00351933" w:rsidRPr="00DA1DBD" w:rsidTr="0035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DA1DBD" w:rsidRDefault="00351933" w:rsidP="0089582F">
            <w:r w:rsidRPr="00DA1DBD">
              <w:t>Openen gebouw</w:t>
            </w:r>
          </w:p>
        </w:tc>
        <w:tc>
          <w:tcPr>
            <w:tcW w:w="1928" w:type="dxa"/>
            <w:hideMark/>
          </w:tcPr>
          <w:p w:rsidR="00351933" w:rsidRPr="00DA1DBD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DBD">
              <w:t>€30,00</w:t>
            </w:r>
          </w:p>
        </w:tc>
        <w:tc>
          <w:tcPr>
            <w:tcW w:w="5508" w:type="dxa"/>
            <w:hideMark/>
          </w:tcPr>
          <w:p w:rsidR="00351933" w:rsidRPr="00DA1DBD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DBD">
              <w:t>Vast bedrag</w:t>
            </w:r>
          </w:p>
        </w:tc>
      </w:tr>
      <w:tr w:rsidR="00351933" w:rsidRPr="00DA1DBD" w:rsidTr="0035193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DA1DBD" w:rsidRDefault="00351933" w:rsidP="0089582F">
            <w:r w:rsidRPr="00DA1DBD">
              <w:t>Sluiten gebouw</w:t>
            </w:r>
          </w:p>
        </w:tc>
        <w:tc>
          <w:tcPr>
            <w:tcW w:w="1928" w:type="dxa"/>
            <w:hideMark/>
          </w:tcPr>
          <w:p w:rsidR="00351933" w:rsidRPr="00DA1DBD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BD">
              <w:t>€30,00</w:t>
            </w:r>
          </w:p>
        </w:tc>
        <w:tc>
          <w:tcPr>
            <w:tcW w:w="5508" w:type="dxa"/>
            <w:hideMark/>
          </w:tcPr>
          <w:p w:rsidR="00351933" w:rsidRPr="00DA1DBD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BD">
              <w:t>Vast bedrag</w:t>
            </w:r>
          </w:p>
        </w:tc>
      </w:tr>
      <w:tr w:rsidR="00351933" w:rsidRPr="00DA1DBD" w:rsidTr="0035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DA1DBD" w:rsidRDefault="00351933" w:rsidP="0089582F">
            <w:r w:rsidRPr="00DA1DBD">
              <w:t>Beveiliger</w:t>
            </w:r>
          </w:p>
        </w:tc>
        <w:tc>
          <w:tcPr>
            <w:tcW w:w="1928" w:type="dxa"/>
            <w:hideMark/>
          </w:tcPr>
          <w:p w:rsidR="00351933" w:rsidRPr="00DA1DBD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DBD">
              <w:t xml:space="preserve">€40,00 </w:t>
            </w:r>
            <w:proofErr w:type="spellStart"/>
            <w:r w:rsidRPr="00DA1DBD">
              <w:t>p.u</w:t>
            </w:r>
            <w:proofErr w:type="spellEnd"/>
            <w:r w:rsidRPr="00DA1DBD">
              <w:t>.</w:t>
            </w:r>
          </w:p>
        </w:tc>
        <w:tc>
          <w:tcPr>
            <w:tcW w:w="5508" w:type="dxa"/>
            <w:hideMark/>
          </w:tcPr>
          <w:p w:rsidR="00351933" w:rsidRPr="00DA1DBD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1DBD">
              <w:t xml:space="preserve">Hiermee is BHV, toezicht en storingen geregeld. Dit is verplicht bij openbaar en/of meer dan 50 personen. </w:t>
            </w:r>
          </w:p>
        </w:tc>
      </w:tr>
      <w:tr w:rsidR="00351933" w:rsidRPr="00690A13" w:rsidTr="00351933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DA1DBD" w:rsidRDefault="00351933" w:rsidP="0089582F">
            <w:r w:rsidRPr="00DA1DBD">
              <w:t>Schoonmaak</w:t>
            </w:r>
          </w:p>
        </w:tc>
        <w:tc>
          <w:tcPr>
            <w:tcW w:w="1928" w:type="dxa"/>
            <w:hideMark/>
          </w:tcPr>
          <w:p w:rsidR="00351933" w:rsidRPr="00DA1DBD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BD">
              <w:t xml:space="preserve">€25,17 </w:t>
            </w:r>
            <w:proofErr w:type="spellStart"/>
            <w:r w:rsidRPr="00DA1DBD">
              <w:t>p.u</w:t>
            </w:r>
            <w:proofErr w:type="spellEnd"/>
            <w:r w:rsidRPr="00DA1DBD">
              <w:t>.</w:t>
            </w:r>
          </w:p>
        </w:tc>
        <w:tc>
          <w:tcPr>
            <w:tcW w:w="5508" w:type="dxa"/>
            <w:hideMark/>
          </w:tcPr>
          <w:p w:rsidR="00351933" w:rsidRPr="00690A13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A1DBD">
              <w:t>Afhankelijk van de ruimte en vervuiling, minimaal 2 uur (2 personen 1 uur)</w:t>
            </w:r>
          </w:p>
        </w:tc>
      </w:tr>
      <w:tr w:rsidR="00351933" w:rsidRPr="00690A13" w:rsidTr="0035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690A13" w:rsidRDefault="00351933" w:rsidP="0089582F">
            <w:r w:rsidRPr="00690A13">
              <w:t>Inrichten ruimten</w:t>
            </w:r>
          </w:p>
        </w:tc>
        <w:tc>
          <w:tcPr>
            <w:tcW w:w="1928" w:type="dxa"/>
            <w:hideMark/>
          </w:tcPr>
          <w:p w:rsidR="00351933" w:rsidRPr="00690A13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sym w:font="Wingdings" w:char="F0E0"/>
            </w:r>
          </w:p>
        </w:tc>
        <w:tc>
          <w:tcPr>
            <w:tcW w:w="5508" w:type="dxa"/>
            <w:hideMark/>
          </w:tcPr>
          <w:p w:rsidR="00351933" w:rsidRPr="00690A13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90A13">
              <w:t>Afhankelijk van hoeveelheid</w:t>
            </w:r>
          </w:p>
        </w:tc>
      </w:tr>
      <w:tr w:rsidR="00351933" w:rsidRPr="00690A13" w:rsidTr="003519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690A13" w:rsidRDefault="00351933" w:rsidP="0089582F">
            <w:r w:rsidRPr="00690A13">
              <w:t>Evt. inhuren meubilair</w:t>
            </w:r>
          </w:p>
        </w:tc>
        <w:tc>
          <w:tcPr>
            <w:tcW w:w="1928" w:type="dxa"/>
            <w:hideMark/>
          </w:tcPr>
          <w:p w:rsidR="00351933" w:rsidRPr="00690A13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sym w:font="Wingdings" w:char="F0E0"/>
            </w:r>
          </w:p>
        </w:tc>
        <w:tc>
          <w:tcPr>
            <w:tcW w:w="5508" w:type="dxa"/>
            <w:hideMark/>
          </w:tcPr>
          <w:p w:rsidR="00351933" w:rsidRPr="00690A13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0A13">
              <w:t>Afhankelijk van hoeveelheid</w:t>
            </w:r>
            <w:r>
              <w:t>, kosten o.b.v. offerte (</w:t>
            </w:r>
            <w:r w:rsidRPr="00690A13">
              <w:t>let op</w:t>
            </w:r>
            <w:r>
              <w:t>:</w:t>
            </w:r>
            <w:r w:rsidRPr="00690A13">
              <w:t xml:space="preserve"> </w:t>
            </w:r>
            <w:r>
              <w:t xml:space="preserve">er is </w:t>
            </w:r>
            <w:r w:rsidRPr="00690A13">
              <w:t>geen lift aanwezig</w:t>
            </w:r>
            <w:r>
              <w:t>, alles moet via bordestrap naar 1</w:t>
            </w:r>
            <w:r w:rsidRPr="001A5D87">
              <w:rPr>
                <w:vertAlign w:val="superscript"/>
              </w:rPr>
              <w:t>e</w:t>
            </w:r>
            <w:r>
              <w:t xml:space="preserve"> verdieping)</w:t>
            </w:r>
          </w:p>
        </w:tc>
      </w:tr>
      <w:tr w:rsidR="00351933" w:rsidRPr="00690A13" w:rsidTr="003519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  <w:hideMark/>
          </w:tcPr>
          <w:p w:rsidR="00351933" w:rsidRPr="00690A13" w:rsidRDefault="00351933" w:rsidP="0089582F">
            <w:r>
              <w:t>Catering</w:t>
            </w:r>
          </w:p>
        </w:tc>
        <w:tc>
          <w:tcPr>
            <w:tcW w:w="1928" w:type="dxa"/>
          </w:tcPr>
          <w:p w:rsidR="00351933" w:rsidRPr="001A5D87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D87">
              <w:sym w:font="Wingdings" w:char="F0E0"/>
            </w:r>
          </w:p>
        </w:tc>
        <w:tc>
          <w:tcPr>
            <w:tcW w:w="5508" w:type="dxa"/>
          </w:tcPr>
          <w:p w:rsidR="00351933" w:rsidRPr="001A5D87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D87">
              <w:t>Koffie/thee is beperkt aanwezig voor eigen gebruik (er zijn geen thermoskannen /servies. Wel automaten op elke verdieping + papieren bekers).</w:t>
            </w:r>
          </w:p>
          <w:p w:rsidR="00351933" w:rsidRPr="001A5D87" w:rsidRDefault="00351933" w:rsidP="008958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A5D87">
              <w:t xml:space="preserve">Boven 50 personen is cateraar verplicht </w:t>
            </w:r>
          </w:p>
        </w:tc>
      </w:tr>
      <w:tr w:rsidR="00351933" w:rsidRPr="00690A13" w:rsidTr="003519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9" w:type="dxa"/>
          </w:tcPr>
          <w:p w:rsidR="00351933" w:rsidRPr="00690A13" w:rsidRDefault="00351933" w:rsidP="0089582F">
            <w:r>
              <w:t>Gebruik AV middelen</w:t>
            </w:r>
          </w:p>
        </w:tc>
        <w:tc>
          <w:tcPr>
            <w:tcW w:w="1928" w:type="dxa"/>
          </w:tcPr>
          <w:p w:rsidR="00351933" w:rsidRPr="001A5D87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D87">
              <w:sym w:font="Wingdings" w:char="F0E0"/>
            </w:r>
          </w:p>
        </w:tc>
        <w:tc>
          <w:tcPr>
            <w:tcW w:w="5508" w:type="dxa"/>
          </w:tcPr>
          <w:p w:rsidR="00351933" w:rsidRPr="001A5D87" w:rsidRDefault="00351933" w:rsidP="00895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5D87">
              <w:t>Aanwezige middelen in principe zonder meerkosten te gebruiken. Overzicht op aanvraag beschikbaar. Instructie aanwezig in zaal.</w:t>
            </w:r>
          </w:p>
        </w:tc>
      </w:tr>
    </w:tbl>
    <w:p w:rsidR="00D86045" w:rsidRDefault="00351933" w:rsidP="00351933">
      <w:bookmarkStart w:id="0" w:name="_GoBack"/>
      <w:bookmarkEnd w:id="0"/>
    </w:p>
    <w:sectPr w:rsidR="00D86045" w:rsidSect="00351933">
      <w:headerReference w:type="default" r:id="rId5"/>
      <w:footerReference w:type="default" r:id="rId6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7983450"/>
      <w:docPartObj>
        <w:docPartGallery w:val="Page Numbers (Bottom of Page)"/>
        <w:docPartUnique/>
      </w:docPartObj>
    </w:sdtPr>
    <w:sdtEndPr/>
    <w:sdtContent>
      <w:p w:rsidR="00C513F6" w:rsidRDefault="0035193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50EE0" w:rsidRDefault="00351933">
    <w:pPr>
      <w:pStyle w:val="Voetteks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EE0" w:rsidRDefault="00351933" w:rsidP="002013FD">
    <w:pPr>
      <w:pStyle w:val="Koptekst"/>
      <w:jc w:val="right"/>
    </w:pPr>
    <w:r>
      <w:t>Gebruikershandleiding - 12</w:t>
    </w:r>
    <w:r>
      <w:t xml:space="preserve"> </w:t>
    </w:r>
    <w:r>
      <w:t xml:space="preserve"> maart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2ED1"/>
    <w:multiLevelType w:val="hybridMultilevel"/>
    <w:tmpl w:val="734E11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33"/>
    <w:rsid w:val="00351933"/>
    <w:rsid w:val="00521283"/>
    <w:rsid w:val="00B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3E85"/>
  <w15:chartTrackingRefBased/>
  <w15:docId w15:val="{412CCE50-B570-4967-87B7-A6845F7B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5193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51933"/>
    <w:pPr>
      <w:tabs>
        <w:tab w:val="right" w:pos="9072"/>
      </w:tabs>
    </w:pPr>
    <w:rPr>
      <w:i/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351933"/>
    <w:rPr>
      <w:i/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351933"/>
    <w:pPr>
      <w:tabs>
        <w:tab w:val="right" w:pos="9072"/>
      </w:tabs>
    </w:pPr>
    <w:rPr>
      <w:i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351933"/>
    <w:rPr>
      <w:i/>
      <w:sz w:val="16"/>
    </w:rPr>
  </w:style>
  <w:style w:type="table" w:styleId="Lichtelijst-accent1">
    <w:name w:val="Light List Accent 1"/>
    <w:basedOn w:val="Standaardtabel"/>
    <w:uiPriority w:val="61"/>
    <w:rsid w:val="0035193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Jojanneke van Zandwijk</dc:creator>
  <cp:keywords/>
  <dc:description/>
  <cp:lastModifiedBy>Jojanneke van Zandwijk</cp:lastModifiedBy>
  <cp:revision>1</cp:revision>
  <dcterms:created xsi:type="dcterms:W3CDTF">2020-03-13T13:39:00Z</dcterms:created>
  <dcterms:modified xsi:type="dcterms:W3CDTF">2020-03-13T13:40:00Z</dcterms:modified>
</cp:coreProperties>
</file>